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60DA453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DC3CE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2109249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B14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4915">
        <w:rPr>
          <w:rFonts w:ascii="Times New Roman" w:eastAsia="Times New Roman" w:hAnsi="Times New Roman" w:cs="Times New Roman"/>
          <w:sz w:val="26"/>
          <w:szCs w:val="26"/>
          <w:u w:val="single"/>
        </w:rPr>
        <w:t>939/дс-25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7627B79C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C6CFF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6C6CFF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6C6CFF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6C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AFF867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D8753B">
        <w:rPr>
          <w:rFonts w:ascii="Times New Roman" w:eastAsia="Times New Roman" w:hAnsi="Times New Roman" w:cs="Times New Roman"/>
          <w:sz w:val="26"/>
          <w:szCs w:val="26"/>
        </w:rPr>
        <w:t>Черевка Павла Павловича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784F57C3" w14:textId="77777777" w:rsidR="00185D40" w:rsidRDefault="00185D40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465F49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9B88F7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3CE3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DC3CE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27ABB2D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DC3CE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установленим вимогам до кандидата на посаду судді місцевого суду.</w:t>
      </w:r>
    </w:p>
    <w:p w14:paraId="3600371E" w14:textId="35BB3AD9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у визначений строк надійшла заява </w:t>
      </w:r>
      <w:r w:rsidR="00D8753B">
        <w:rPr>
          <w:rFonts w:ascii="Times New Roman" w:eastAsia="Times New Roman" w:hAnsi="Times New Roman" w:cs="Times New Roman"/>
          <w:sz w:val="26"/>
          <w:szCs w:val="26"/>
        </w:rPr>
        <w:t>Черевка Павла Павловича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2AF2B279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D8753B">
        <w:rPr>
          <w:sz w:val="26"/>
          <w:szCs w:val="26"/>
        </w:rPr>
        <w:t>Черевком П.П.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D8753B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5FB3F71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DC3CE3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D973286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D8753B">
        <w:rPr>
          <w:rFonts w:ascii="Times New Roman" w:eastAsia="Times New Roman" w:hAnsi="Times New Roman" w:cs="Times New Roman"/>
          <w:sz w:val="26"/>
          <w:szCs w:val="26"/>
        </w:rPr>
        <w:t>Черевком Павлом Павловичем</w:t>
      </w:r>
      <w:r w:rsidR="00D8753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73B665B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D8753B">
        <w:rPr>
          <w:rFonts w:ascii="Times New Roman" w:eastAsia="Times New Roman" w:hAnsi="Times New Roman" w:cs="Times New Roman"/>
          <w:sz w:val="26"/>
          <w:szCs w:val="26"/>
        </w:rPr>
        <w:t>Черевку Павлу Павловичу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3CE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61AA185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DC3CE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16B335CC" w:rsidR="006D78D2" w:rsidRDefault="00DC3CE3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9506522" w14:textId="74239BB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DC3CE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151995B2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DC3CE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8D3345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4A5F" w14:textId="77777777" w:rsidR="008D3345" w:rsidRDefault="008D3345">
      <w:pPr>
        <w:spacing w:after="0" w:line="240" w:lineRule="auto"/>
      </w:pPr>
      <w:r>
        <w:separator/>
      </w:r>
    </w:p>
  </w:endnote>
  <w:endnote w:type="continuationSeparator" w:id="0">
    <w:p w14:paraId="33CE3ED4" w14:textId="77777777" w:rsidR="008D3345" w:rsidRDefault="008D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65AA3" w14:textId="77777777" w:rsidR="008D3345" w:rsidRDefault="008D3345">
      <w:pPr>
        <w:spacing w:after="0" w:line="240" w:lineRule="auto"/>
      </w:pPr>
      <w:r>
        <w:separator/>
      </w:r>
    </w:p>
  </w:footnote>
  <w:footnote w:type="continuationSeparator" w:id="0">
    <w:p w14:paraId="6FA3C63D" w14:textId="77777777" w:rsidR="008D3345" w:rsidRDefault="008D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3CE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7222C"/>
    <w:rsid w:val="00185D40"/>
    <w:rsid w:val="00187D6F"/>
    <w:rsid w:val="001B4245"/>
    <w:rsid w:val="003E40E6"/>
    <w:rsid w:val="004D26AA"/>
    <w:rsid w:val="004F28F7"/>
    <w:rsid w:val="005351B7"/>
    <w:rsid w:val="005503E6"/>
    <w:rsid w:val="00650ABE"/>
    <w:rsid w:val="006575E6"/>
    <w:rsid w:val="006C15D1"/>
    <w:rsid w:val="006C6CFF"/>
    <w:rsid w:val="006D78D2"/>
    <w:rsid w:val="00713784"/>
    <w:rsid w:val="007555FB"/>
    <w:rsid w:val="00756495"/>
    <w:rsid w:val="007D1FDE"/>
    <w:rsid w:val="008039CA"/>
    <w:rsid w:val="00833F05"/>
    <w:rsid w:val="008D3345"/>
    <w:rsid w:val="00933979"/>
    <w:rsid w:val="009428D0"/>
    <w:rsid w:val="00A20524"/>
    <w:rsid w:val="00B063E4"/>
    <w:rsid w:val="00B14915"/>
    <w:rsid w:val="00B23014"/>
    <w:rsid w:val="00B679A2"/>
    <w:rsid w:val="00C20D27"/>
    <w:rsid w:val="00CE4A0F"/>
    <w:rsid w:val="00D8753B"/>
    <w:rsid w:val="00DC3CE3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7</cp:revision>
  <cp:lastPrinted>2025-06-10T07:00:00Z</cp:lastPrinted>
  <dcterms:created xsi:type="dcterms:W3CDTF">2025-05-19T10:26:00Z</dcterms:created>
  <dcterms:modified xsi:type="dcterms:W3CDTF">2025-06-10T10:51:00Z</dcterms:modified>
</cp:coreProperties>
</file>