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B5" w:rsidRPr="00CD677C" w:rsidRDefault="00207DB5" w:rsidP="00207D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07DB5" w:rsidRPr="00CD677C" w:rsidRDefault="00207DB5" w:rsidP="00207D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07DB5" w:rsidRPr="00CD677C" w:rsidRDefault="00207DB5" w:rsidP="00207DB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11 вересня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207DB5" w:rsidRPr="00CD677C" w:rsidRDefault="00207DB5" w:rsidP="00207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07DB5" w:rsidRPr="00CD677C" w:rsidRDefault="00207DB5" w:rsidP="00207D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Богоніс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М.Б.,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Н.Р.,        Луганський В.І.,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Р.І.,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Омельян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О.С.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 Шевчук Г.М.</w:t>
      </w:r>
    </w:p>
    <w:p w:rsidR="00207DB5" w:rsidRPr="00CD677C" w:rsidRDefault="00207DB5" w:rsidP="00207D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Pr="00354AEA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з</w:t>
      </w:r>
      <w:r w:rsidRPr="00354AE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алишити без розгляду та повернути до Державної судової адміністрації України повідомлення про необхідність розгляду питання відрядження суддів до Дергачівського районного суду Харківської області.</w:t>
      </w:r>
    </w:p>
    <w:p w:rsidR="00207DB5" w:rsidRDefault="00207DB5" w:rsidP="00207DB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DB5" w:rsidRPr="002C299F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оголосити перерву в розгляді питання про відрядження суддів до Дубенського міськрайонного суду Рівненської області</w:t>
      </w:r>
      <w:r w:rsidRPr="002C299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207DB5" w:rsidRDefault="00207DB5" w:rsidP="00207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Pr="005E522F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5E522F">
        <w:rPr>
          <w:rFonts w:ascii="Times New Roman" w:hAnsi="Times New Roman" w:cs="Times New Roman"/>
          <w:sz w:val="26"/>
          <w:szCs w:val="26"/>
          <w:lang w:val="uk-UA"/>
        </w:rPr>
        <w:t>оголосити перерву в розгляді питання про відрядження суддів</w:t>
      </w:r>
      <w:r w:rsidRPr="005E52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Києво-Святошинського районного суду Київської області</w:t>
      </w:r>
      <w:r w:rsidRPr="005E522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07DB5" w:rsidRPr="005E522F" w:rsidRDefault="00207DB5" w:rsidP="00207DB5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Pr="00354AEA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354AEA">
        <w:rPr>
          <w:rFonts w:ascii="Times New Roman" w:hAnsi="Times New Roman" w:cs="Times New Roman"/>
          <w:bCs/>
          <w:sz w:val="26"/>
          <w:szCs w:val="26"/>
          <w:lang w:val="uk-UA"/>
        </w:rPr>
        <w:t>продовжити строк розгляду питання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про відрядження суддів до Центрального апеляційного господарського суду до 09 жовтня 2024 року </w:t>
      </w:r>
      <w:r w:rsidRPr="00354AE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354AE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354AEA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207DB5" w:rsidRDefault="00207DB5" w:rsidP="00207DB5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207DB5" w:rsidRPr="00042B72" w:rsidRDefault="00207DB5" w:rsidP="00207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нести</w:t>
      </w:r>
      <w:proofErr w:type="spellEnd"/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на відрядження до Богунського районного суду міста Житомира строком на 1 рік судді </w:t>
      </w:r>
      <w:proofErr w:type="spellStart"/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Теплицького</w:t>
      </w:r>
      <w:proofErr w:type="spellEnd"/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Вінницької області </w:t>
      </w:r>
      <w:proofErr w:type="spellStart"/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Довгалюк</w:t>
      </w:r>
      <w:proofErr w:type="spellEnd"/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Людмили Василівни.</w:t>
      </w:r>
    </w:p>
    <w:p w:rsidR="00207DB5" w:rsidRPr="00042B72" w:rsidRDefault="00207DB5" w:rsidP="00207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Відмовити у внесенні до Вищої ради правосуддя подання про відрядження до Богунського районного суду міста Житомира судді Красноармійського міськрайонного суду Донецької області Токарєв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Артем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Геннадійович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 судді Московського районного суду міста Харкова Власенк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Михайл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Васильович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</w:t>
      </w:r>
      <w:r w:rsidRPr="00042B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042B72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042B7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42B72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207DB5" w:rsidRPr="00470253" w:rsidRDefault="00207DB5" w:rsidP="00207DB5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відкласти розгляд питання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п</w:t>
      </w:r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ро відрядження судді Біловодського районного суду Луганської області Бобрової Юлії Юріївни до іншого суду того самого рівня і спеціалізації.</w:t>
      </w:r>
    </w:p>
    <w:p w:rsidR="00207DB5" w:rsidRDefault="00207DB5" w:rsidP="00207D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207DB5" w:rsidRPr="00A66AED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uk-UA"/>
        </w:rPr>
      </w:pPr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на відрядження до Херсонського міського суду Херсонської області строком на 1 рік судді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Білозерського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Херсонської області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Бугрименка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Валентина Володимировича</w:t>
      </w:r>
      <w:r w:rsidRPr="00A66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uk-UA"/>
        </w:rPr>
        <w:t xml:space="preserve"> </w:t>
      </w:r>
      <w:r w:rsidRPr="00A66AED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  </w:t>
      </w:r>
      <w:proofErr w:type="spellStart"/>
      <w:r w:rsidRPr="00A66AE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66AED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207DB5" w:rsidRPr="00A66AED" w:rsidRDefault="00207DB5" w:rsidP="00207D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uk-UA"/>
        </w:rPr>
      </w:pPr>
    </w:p>
    <w:p w:rsidR="00207DB5" w:rsidRPr="00085F1A" w:rsidRDefault="00207DB5" w:rsidP="00207D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lastRenderedPageBreak/>
        <w:t>Вища кваліфікаційна комісія суддів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України вирішила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Сєвєродонецького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Луганської області </w:t>
      </w:r>
      <w:proofErr w:type="spellStart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Краснокутського</w:t>
      </w:r>
      <w:proofErr w:type="spellEnd"/>
      <w:r w:rsidRPr="00A66AED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Сергія Олександровича до Новомосковського міськрайонного суду Дніпропетровської області строком на 1 рік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085F1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 </w:t>
      </w:r>
      <w:proofErr w:type="spellStart"/>
      <w:r w:rsidRPr="00085F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5F1A"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786531" w:rsidRPr="00207DB5" w:rsidRDefault="00786531" w:rsidP="00207DB5">
      <w:pPr>
        <w:rPr>
          <w:lang w:val="uk-UA"/>
        </w:rPr>
      </w:pPr>
      <w:bookmarkStart w:id="0" w:name="_GoBack"/>
      <w:bookmarkEnd w:id="0"/>
    </w:p>
    <w:sectPr w:rsidR="00786531" w:rsidRPr="0020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1B63"/>
    <w:multiLevelType w:val="hybridMultilevel"/>
    <w:tmpl w:val="B84E152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4"/>
    <w:rsid w:val="00207DB5"/>
    <w:rsid w:val="005504D4"/>
    <w:rsid w:val="007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8B36-5C35-4165-8018-305D1CD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2024-09-17T11:35:00Z</dcterms:created>
  <dcterms:modified xsi:type="dcterms:W3CDTF">2024-09-17T11:35:00Z</dcterms:modified>
</cp:coreProperties>
</file>