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BC" w:rsidRPr="00CD677C" w:rsidRDefault="00381EBC" w:rsidP="00381EB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81EBC" w:rsidRPr="00CD677C" w:rsidRDefault="00381EBC" w:rsidP="00381EB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81EBC" w:rsidRPr="00CD677C" w:rsidRDefault="00381EBC" w:rsidP="00381EB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04 вересня </w:t>
      </w: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2024 року у складі Другої палати </w:t>
      </w:r>
    </w:p>
    <w:p w:rsidR="00381EBC" w:rsidRPr="00CD677C" w:rsidRDefault="00381EBC" w:rsidP="00381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1EBC" w:rsidRPr="00CD677C" w:rsidRDefault="00381EBC" w:rsidP="00381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сім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Богоніс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М.Б.,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Гацелюк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В.О.,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Н.Р.,        Луганський В.І.,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Мельник Р.І.,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Омельян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О.С.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, Шевчук Г.М.</w:t>
      </w:r>
    </w:p>
    <w:p w:rsidR="00381EBC" w:rsidRPr="00CD677C" w:rsidRDefault="00381EBC" w:rsidP="00381E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381EBC" w:rsidRPr="002C299F" w:rsidRDefault="00381EBC" w:rsidP="00381E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вирішила:</w:t>
      </w:r>
    </w:p>
    <w:p w:rsidR="00381EBC" w:rsidRPr="002134DF" w:rsidRDefault="00381EBC" w:rsidP="00381EB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З</w:t>
      </w:r>
      <w:r w:rsidRPr="002134D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алишити без розгляду питання щодо внесення до Вищої ради правосуддя подання про відрядження до </w:t>
      </w:r>
      <w:r w:rsidRPr="002134DF">
        <w:rPr>
          <w:rFonts w:ascii="Times New Roman" w:hAnsi="Times New Roman" w:cs="Times New Roman"/>
          <w:sz w:val="26"/>
          <w:szCs w:val="26"/>
          <w:lang w:val="uk-UA"/>
        </w:rPr>
        <w:t>Васильківського міськрайонного суду Київської області судді Хмельницького міськрайонного суду Хмельницької області Данькової Світлани Олександрівни.</w:t>
      </w:r>
    </w:p>
    <w:p w:rsidR="00381EBC" w:rsidRPr="002134DF" w:rsidRDefault="00381EBC" w:rsidP="00381EB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34D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134D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Відмовити у внесенні до Вищої ради правосуддя подання </w:t>
      </w:r>
      <w:r w:rsidRPr="002134D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про відрядження до </w:t>
      </w:r>
      <w:r w:rsidRPr="002134DF">
        <w:rPr>
          <w:rFonts w:ascii="Times New Roman" w:hAnsi="Times New Roman" w:cs="Times New Roman"/>
          <w:sz w:val="26"/>
          <w:szCs w:val="26"/>
          <w:lang w:val="uk-UA"/>
        </w:rPr>
        <w:t xml:space="preserve">Васильківського міськрайонного суду Київської області судді Енергодарського міського суду Запорізької області </w:t>
      </w:r>
      <w:proofErr w:type="spellStart"/>
      <w:r w:rsidRPr="002134DF">
        <w:rPr>
          <w:rFonts w:ascii="Times New Roman" w:hAnsi="Times New Roman" w:cs="Times New Roman"/>
          <w:sz w:val="26"/>
          <w:szCs w:val="26"/>
          <w:lang w:val="uk-UA"/>
        </w:rPr>
        <w:t>Бізяєвої</w:t>
      </w:r>
      <w:proofErr w:type="spellEnd"/>
      <w:r w:rsidRPr="002134DF">
        <w:rPr>
          <w:rFonts w:ascii="Times New Roman" w:hAnsi="Times New Roman" w:cs="Times New Roman"/>
          <w:sz w:val="26"/>
          <w:szCs w:val="26"/>
          <w:lang w:val="uk-UA"/>
        </w:rPr>
        <w:t xml:space="preserve"> Надії Олегівни, судді </w:t>
      </w:r>
      <w:proofErr w:type="spellStart"/>
      <w:r w:rsidRPr="002134DF">
        <w:rPr>
          <w:rFonts w:ascii="Times New Roman" w:hAnsi="Times New Roman" w:cs="Times New Roman"/>
          <w:sz w:val="26"/>
          <w:szCs w:val="26"/>
          <w:lang w:val="uk-UA"/>
        </w:rPr>
        <w:t>Сватівського</w:t>
      </w:r>
      <w:proofErr w:type="spellEnd"/>
      <w:r w:rsidRPr="002134D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Луганської області Попової Олени Михайлівни, судді Дружківського міського суду Донецької області </w:t>
      </w:r>
      <w:proofErr w:type="spellStart"/>
      <w:r w:rsidRPr="002134DF">
        <w:rPr>
          <w:rFonts w:ascii="Times New Roman" w:hAnsi="Times New Roman" w:cs="Times New Roman"/>
          <w:sz w:val="26"/>
          <w:szCs w:val="26"/>
          <w:lang w:val="uk-UA"/>
        </w:rPr>
        <w:t>Рагозіної</w:t>
      </w:r>
      <w:proofErr w:type="spellEnd"/>
      <w:r w:rsidRPr="002134DF">
        <w:rPr>
          <w:rFonts w:ascii="Times New Roman" w:hAnsi="Times New Roman" w:cs="Times New Roman"/>
          <w:sz w:val="26"/>
          <w:szCs w:val="26"/>
          <w:lang w:val="uk-UA"/>
        </w:rPr>
        <w:t xml:space="preserve"> Світлани Олегівни та судді </w:t>
      </w:r>
      <w:proofErr w:type="spellStart"/>
      <w:r w:rsidRPr="002134DF">
        <w:rPr>
          <w:rFonts w:ascii="Times New Roman" w:hAnsi="Times New Roman" w:cs="Times New Roman"/>
          <w:sz w:val="26"/>
          <w:szCs w:val="26"/>
          <w:lang w:val="uk-UA"/>
        </w:rPr>
        <w:t>Старобільського</w:t>
      </w:r>
      <w:proofErr w:type="spellEnd"/>
      <w:r w:rsidRPr="002134D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Луганської області </w:t>
      </w:r>
      <w:proofErr w:type="spellStart"/>
      <w:r w:rsidRPr="002134DF">
        <w:rPr>
          <w:rFonts w:ascii="Times New Roman" w:hAnsi="Times New Roman" w:cs="Times New Roman"/>
          <w:sz w:val="26"/>
          <w:szCs w:val="26"/>
          <w:lang w:val="uk-UA"/>
        </w:rPr>
        <w:t>Форощука</w:t>
      </w:r>
      <w:proofErr w:type="spellEnd"/>
      <w:r w:rsidRPr="002134D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Віталійовича.</w:t>
      </w:r>
    </w:p>
    <w:p w:rsidR="00381EBC" w:rsidRPr="002C299F" w:rsidRDefault="00381EBC" w:rsidP="00381EB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134D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134D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Залишити без розгляду питання щодо внесення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Pr="002134DF">
        <w:rPr>
          <w:rFonts w:ascii="Times New Roman" w:hAnsi="Times New Roman" w:cs="Times New Roman"/>
          <w:sz w:val="26"/>
          <w:szCs w:val="26"/>
          <w:lang w:val="uk-UA"/>
        </w:rPr>
        <w:t>Вищої ради правосуддя подання про відрядження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134DF">
        <w:rPr>
          <w:rFonts w:ascii="Times New Roman" w:hAnsi="Times New Roman" w:cs="Times New Roman"/>
          <w:sz w:val="26"/>
          <w:szCs w:val="26"/>
          <w:lang w:val="uk-UA"/>
        </w:rPr>
        <w:t xml:space="preserve"> до Васильківського міськрайонного суду Київської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 </w:t>
      </w:r>
    </w:p>
    <w:p w:rsidR="00381EBC" w:rsidRPr="00CD677C" w:rsidRDefault="00381EBC" w:rsidP="00381EBC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381EBC" w:rsidRPr="002C299F" w:rsidRDefault="00381EBC" w:rsidP="00381E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 w:rsidRPr="002C299F">
        <w:rPr>
          <w:rFonts w:ascii="Times New Roman" w:hAnsi="Times New Roman" w:cs="Times New Roman"/>
          <w:bCs/>
          <w:sz w:val="26"/>
          <w:szCs w:val="26"/>
          <w:lang w:val="uk-UA"/>
        </w:rPr>
        <w:t>внести</w:t>
      </w:r>
      <w:proofErr w:type="spellEnd"/>
      <w:r w:rsidRPr="002C299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Вищої ради правосуддя подання з рекомендацією на відрядження судді </w:t>
      </w:r>
      <w:r w:rsidRPr="002C299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Жовтневого районного суду міста Маріуполя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Донецької області</w:t>
      </w:r>
      <w:r w:rsidRPr="002C299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Мельник Ірини Олексіївни до Жовтневого районного суду міста Дніпропетровська строком на один рік.</w:t>
      </w:r>
    </w:p>
    <w:p w:rsidR="00381EBC" w:rsidRDefault="00381EBC" w:rsidP="00381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381EBC" w:rsidRPr="005E522F" w:rsidRDefault="00381EBC" w:rsidP="00381E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5E522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r w:rsidRPr="005E522F">
        <w:rPr>
          <w:rFonts w:ascii="Times New Roman" w:hAnsi="Times New Roman" w:cs="Times New Roman"/>
          <w:sz w:val="26"/>
          <w:szCs w:val="26"/>
          <w:lang w:val="uk-UA"/>
        </w:rPr>
        <w:t>оголосити перерву в розгляді питання про відрядження суддів</w:t>
      </w:r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Житомирського окружного адміністративного суду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5E522F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Р.І.</w:t>
      </w:r>
      <w:r w:rsidRPr="005E522F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 </w:t>
      </w:r>
    </w:p>
    <w:p w:rsidR="00381EBC" w:rsidRPr="005E522F" w:rsidRDefault="00381EBC" w:rsidP="00381EBC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381EBC" w:rsidRDefault="00381EBC" w:rsidP="00381E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вирішила:</w:t>
      </w:r>
    </w:p>
    <w:p w:rsidR="00381EBC" w:rsidRPr="005E522F" w:rsidRDefault="00381EBC" w:rsidP="00381E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>нести</w:t>
      </w:r>
      <w:proofErr w:type="spellEnd"/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Вищої ради правосуддя подання з рекомендацією на відрядження до Личаківського районного суду міста Львова строком на один рік</w:t>
      </w:r>
      <w:r w:rsidRPr="00031BB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судді </w:t>
      </w:r>
      <w:proofErr w:type="spellStart"/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>Снігурівського</w:t>
      </w:r>
      <w:proofErr w:type="spellEnd"/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Миколаївської області Яворського Сергія Йосифовича.</w:t>
      </w:r>
    </w:p>
    <w:p w:rsidR="00381EBC" w:rsidRDefault="00381EBC" w:rsidP="00381EB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ab/>
        <w:t>Відмовити у внесенні до Вищої ради правосуддя подання про відрядження до Личаківського районного суду міста Львова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  <w:r w:rsidRPr="00C474D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>судді Червоноградського міського суду Львівської області Рудакова Дмитра Ігоровича, судді Жовтневого районного суду міста Кривого Рогу Дніпропетровської області Чорного Ігоря Ярославовича.</w:t>
      </w:r>
    </w:p>
    <w:p w:rsidR="00381EBC" w:rsidRDefault="00381EBC" w:rsidP="00381EB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81EBC" w:rsidRPr="00470253" w:rsidRDefault="00381EBC" w:rsidP="00381E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5E522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продовжити строк розгляду питання щодо внесення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до</w:t>
      </w:r>
      <w:r w:rsidRPr="00031BB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>Вищої ради правосуддя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>подання про відрядження суддів до Саксаганського районного суду міста Кривого Рогу Дніпропетровської області до 25 вересня 2024 року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470253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Pr="0047025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70253"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</w:t>
      </w:r>
    </w:p>
    <w:p w:rsidR="00381EBC" w:rsidRPr="00470253" w:rsidRDefault="00381EBC" w:rsidP="00381EBC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381EBC" w:rsidRPr="00470253" w:rsidRDefault="00381EBC" w:rsidP="00381E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lastRenderedPageBreak/>
        <w:t xml:space="preserve">Вища кваліфікаційна комісія суддів України вирішила </w:t>
      </w:r>
      <w:r w:rsidRPr="004702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продовжити строк розгляду питання щодо внесення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до</w:t>
      </w:r>
      <w:r w:rsidRPr="00031BB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4D4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Вищої ради правосуддя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4702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подання про відрядження суддів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Тростянецького районного суду Сумської області </w:t>
      </w:r>
      <w:r w:rsidRPr="004702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           </w:t>
      </w:r>
      <w:r w:rsidRPr="004702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25 вересня 2024 року </w:t>
      </w:r>
      <w:r w:rsidRPr="00470253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Pr="0047025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70253"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</w:t>
      </w:r>
    </w:p>
    <w:p w:rsidR="00381EBC" w:rsidRDefault="00381EBC" w:rsidP="00381E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81EBC" w:rsidRDefault="00381EBC" w:rsidP="00381E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81EBC" w:rsidRDefault="00381EBC" w:rsidP="00381E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F6577" w:rsidRPr="00381EBC" w:rsidRDefault="00DF6577" w:rsidP="00381EBC">
      <w:pPr>
        <w:rPr>
          <w:lang w:val="uk-UA"/>
        </w:rPr>
      </w:pPr>
      <w:bookmarkStart w:id="0" w:name="_GoBack"/>
      <w:bookmarkEnd w:id="0"/>
    </w:p>
    <w:sectPr w:rsidR="00DF6577" w:rsidRPr="00381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227863"/>
    <w:rsid w:val="00381EBC"/>
    <w:rsid w:val="006B600F"/>
    <w:rsid w:val="00A51A8A"/>
    <w:rsid w:val="00DF6577"/>
    <w:rsid w:val="00E400BC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1960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6</cp:revision>
  <dcterms:created xsi:type="dcterms:W3CDTF">2024-08-09T11:51:00Z</dcterms:created>
  <dcterms:modified xsi:type="dcterms:W3CDTF">2024-09-10T05:53:00Z</dcterms:modified>
</cp:coreProperties>
</file>